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eastAsia="zh-CN"/>
        </w:rPr>
        <w:t>附件六：</w:t>
      </w:r>
    </w:p>
    <w:p>
      <w:pPr>
        <w:jc w:val="both"/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</w:pPr>
    </w:p>
    <w:p>
      <w:pPr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u w:val="none"/>
          <w:lang w:eastAsia="zh-CN"/>
        </w:rPr>
        <w:t>青岛市台湾同胞投资企业协会</w:t>
      </w:r>
    </w:p>
    <w:p>
      <w:pPr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u w:val="none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u w:val="none"/>
          <w:lang w:eastAsia="zh-CN"/>
        </w:rPr>
        <w:t>财务管理制度</w:t>
      </w:r>
    </w:p>
    <w:bookmarkEnd w:id="0"/>
    <w:p>
      <w:p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  <w:u w:val="none"/>
        </w:rPr>
      </w:pPr>
    </w:p>
    <w:p>
      <w:p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为进一步加强青岛市台湾同胞投资企业协会（以下简称“市台协”）的财务管理，依照财务管理制度和市台协章程，制定本制度。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经费来源及用途。市台协经费来源主要包括会员缴纳的会费、会员和社会资助或捐赠、举办有偿服务的收入、利息收入和其他合法收入。主要用于市台协日常办公费用开支、业务活动开支及常务理事会和会长办公会研究同意开支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财务管理原则。市台协财务收支严格执行财务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管理规定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和纪律要求，勤俭节约、精打细算，制止铺张浪费和不必要开支，降低消耗，增加积累。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财务工作机制。市台协的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年度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财务预算经常务理事会通过方可实施，年终结算后经常务理事会审核后向会员大会报告。收支情况由市台协监事会负责监督，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年向全体会员公示一次。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财务人员设置。市台协设会计、出纳各一人，各司其职、互相配合，财务工作做到手续完备、内容真实、数字准确、账目清楚、日清月结。会计人员负责会计档案保管和账目登记工作；出纳人员负责现金管理和财务凭证登记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财务工作纪律。财务人员在办理会计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事务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中，必须坚持原则、照章办事。对于违反财经纪律、财务制度的事项，必须拒绝付款、拒绝报销或拒绝执行，并及时向会长报告。财务支出凭证须经财务人员、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监事长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、会长签字确认后，记入市台协账目。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业务指导监督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管理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市台港澳办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对市台协进行业务指导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和监督管理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，委派专人兼任市台协常务副会长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秘书长，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不定期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至市台协办公，负责主持市台协秘书处日常工作，组织实施年度工作计划。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负责监督市台协财务收支情况，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协助监事会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每季度对市台协财务支出凭证进行审查监督。</w:t>
      </w: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财务审计机制。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市台协聘请审计机构每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年对财务进行审计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，审计报告报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市台港澳办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备案。协会换届或更换法定代表人之前，需接受社团登记管理机关和主管单位组织的财务审计。财务人员工作调整或离职，必须与接替人员办理交接手续，移交包括会计凭证、报表、账目、款项、公章、实物及未了事项等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</w:p>
    <w:p>
      <w:pPr>
        <w:rPr>
          <w:color w:val="auto"/>
          <w:u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8F7778"/>
    <w:multiLevelType w:val="singleLevel"/>
    <w:tmpl w:val="FB8F7778"/>
    <w:lvl w:ilvl="0" w:tentative="0">
      <w:start w:val="1"/>
      <w:numFmt w:val="chineseCounting"/>
      <w:suff w:val="nothing"/>
      <w:lvlText w:val="%1、"/>
      <w:lvlJc w:val="left"/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TgxYmJjODcxOTgyNTQ2NTE4NWY4NWZjMGY5OGQifQ=="/>
  </w:docVars>
  <w:rsids>
    <w:rsidRoot w:val="64F96779"/>
    <w:rsid w:val="13C95DDF"/>
    <w:rsid w:val="171E28E6"/>
    <w:rsid w:val="3B2E0A9A"/>
    <w:rsid w:val="424C5CAA"/>
    <w:rsid w:val="64F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491</Characters>
  <Lines>0</Lines>
  <Paragraphs>0</Paragraphs>
  <TotalTime>1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2023-06-19T06:12:00Z</dcterms:created>
  <dc:creator>炮泡奶茶゛Man</dc:creator>
  <cp:lastModifiedBy>炮泡奶茶゛Man</cp:lastModifiedBy>
  <dcterms:modified xsi:type="dcterms:W3CDTF">2023-06-19T06:16:21Z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F0DAD710EAB94199BD9B537D751069AB_13</vt:lpwstr>
  </property>
</Properties>
</file>